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403"/>
      </w:tblGrid>
      <w:tr w:rsidR="00A41CF0" w:rsidRPr="00A41CF0" w:rsidTr="0059470D">
        <w:tc>
          <w:tcPr>
            <w:tcW w:w="1626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:rsidR="00A41CF0" w:rsidRPr="00A41CF0" w:rsidRDefault="00A41CF0" w:rsidP="005947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drawing>
                <wp:inline distT="0" distB="0" distL="0" distR="0" wp14:anchorId="3DD721DB" wp14:editId="013A9D03">
                  <wp:extent cx="895350" cy="895350"/>
                  <wp:effectExtent l="0" t="0" r="0" b="0"/>
                  <wp:docPr id="5" name="Picture 5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:rsidR="00A41CF0" w:rsidRPr="00A41CF0" w:rsidRDefault="00A41CF0" w:rsidP="00594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1C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MINISTERUL SĂNĂTĂȚII</w:t>
            </w:r>
          </w:p>
          <w:p w:rsidR="00A41CF0" w:rsidRPr="00A41CF0" w:rsidRDefault="00A41CF0" w:rsidP="0059470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1C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DIRECȚIA REGLEMENTARE ȘI FORMARE PROFESIONALĂ</w:t>
            </w:r>
          </w:p>
          <w:p w:rsidR="00A41CF0" w:rsidRPr="00A41CF0" w:rsidRDefault="00A41CF0" w:rsidP="0059470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1C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MEDICALĂ</w:t>
            </w:r>
          </w:p>
          <w:p w:rsidR="00A41CF0" w:rsidRPr="00A41CF0" w:rsidRDefault="00A41CF0" w:rsidP="0059470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41CF0" w:rsidRPr="00A41CF0" w:rsidTr="0059470D">
        <w:tc>
          <w:tcPr>
            <w:tcW w:w="9029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hideMark/>
          </w:tcPr>
          <w:p w:rsidR="00A41CF0" w:rsidRPr="00A41CF0" w:rsidRDefault="00A41CF0" w:rsidP="00594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Strada Cristian Popișteanu, nr.1-3, sector 1, București, ROMÂNIA, cod poștal: 010024, e-mail: </w:t>
            </w:r>
            <w:hyperlink r:id="rId5" w:history="1">
              <w:r w:rsidRPr="00A41CF0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dprus@ms.ro</w:t>
              </w:r>
            </w:hyperlink>
            <w:r w:rsidRPr="00A41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41CF0" w:rsidRPr="00A41CF0" w:rsidRDefault="00A41CF0" w:rsidP="00A41CF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Nr</w:t>
      </w: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.17127/23 dec</w:t>
      </w: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.2024</w:t>
      </w:r>
    </w:p>
    <w:p w:rsidR="00A41CF0" w:rsidRPr="00A41CF0" w:rsidRDefault="00A41CF0" w:rsidP="00A41CF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  <w:t>APROB,</w:t>
      </w:r>
    </w:p>
    <w:p w:rsidR="00A41CF0" w:rsidRPr="00A41CF0" w:rsidRDefault="00A41CF0" w:rsidP="00A41CF0">
      <w:pPr>
        <w:spacing w:line="240" w:lineRule="auto"/>
        <w:ind w:left="3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                 MINISTRUL SĂNĂTĂŢII</w:t>
      </w:r>
    </w:p>
    <w:p w:rsidR="00A41CF0" w:rsidRPr="00A41CF0" w:rsidRDefault="00A41CF0" w:rsidP="00A41CF0">
      <w:pPr>
        <w:spacing w:line="240" w:lineRule="auto"/>
        <w:ind w:left="3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PROF.UNIV.DR.ALEXANDRU RAFILA</w:t>
      </w:r>
    </w:p>
    <w:p w:rsidR="00A41CF0" w:rsidRPr="00A41CF0" w:rsidRDefault="00A41CF0" w:rsidP="00A41CF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A41CF0" w:rsidRPr="00A41CF0" w:rsidRDefault="00A41CF0" w:rsidP="00A41CF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</w:pPr>
      <w:r w:rsidRPr="00A41C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REFERAT DE APROBARE</w:t>
      </w:r>
    </w:p>
    <w:p w:rsidR="00A41CF0" w:rsidRPr="00A41CF0" w:rsidRDefault="00A41CF0" w:rsidP="00A41CF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</w:pPr>
    </w:p>
    <w:p w:rsidR="00A41CF0" w:rsidRPr="00A41CF0" w:rsidRDefault="00A41CF0" w:rsidP="00A41CF0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</w:pPr>
    </w:p>
    <w:p w:rsidR="00A41CF0" w:rsidRPr="00A41CF0" w:rsidRDefault="00A41CF0" w:rsidP="00A41CF0">
      <w:pPr>
        <w:spacing w:line="240" w:lineRule="auto"/>
        <w:jc w:val="both"/>
        <w:rPr>
          <w:rStyle w:val="rvts1"/>
          <w:rFonts w:ascii="Times New Roman" w:hAnsi="Times New Roman" w:cs="Times New Roman"/>
          <w:sz w:val="28"/>
          <w:szCs w:val="28"/>
          <w:lang w:val="ro-RO"/>
        </w:rPr>
      </w:pP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  <w:t>În conformitate cu prevederile art.75 din Legea nr.199/2023-</w:t>
      </w:r>
      <w:r w:rsidRPr="00A41CF0">
        <w:rPr>
          <w:rStyle w:val="rvts1"/>
          <w:rFonts w:ascii="Times New Roman" w:hAnsi="Times New Roman" w:cs="Times New Roman"/>
          <w:sz w:val="28"/>
          <w:szCs w:val="28"/>
          <w:lang w:val="ro-RO"/>
        </w:rPr>
        <w:t xml:space="preserve">Legea </w:t>
      </w:r>
      <w:proofErr w:type="spellStart"/>
      <w:r w:rsidRPr="00A41CF0">
        <w:rPr>
          <w:rStyle w:val="rvts1"/>
          <w:rFonts w:ascii="Times New Roman" w:hAnsi="Times New Roman" w:cs="Times New Roman"/>
          <w:sz w:val="28"/>
          <w:szCs w:val="28"/>
          <w:lang w:val="ro-RO"/>
        </w:rPr>
        <w:t>învăţământului</w:t>
      </w:r>
      <w:proofErr w:type="spellEnd"/>
      <w:r w:rsidRPr="00A41CF0">
        <w:rPr>
          <w:rStyle w:val="rvts1"/>
          <w:rFonts w:ascii="Times New Roman" w:hAnsi="Times New Roman" w:cs="Times New Roman"/>
          <w:sz w:val="28"/>
          <w:szCs w:val="28"/>
          <w:lang w:val="ro-RO"/>
        </w:rPr>
        <w:t xml:space="preserve"> superior: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A41CF0">
        <w:rPr>
          <w:rStyle w:val="rvts1"/>
          <w:sz w:val="28"/>
          <w:szCs w:val="28"/>
          <w:lang w:val="ro-RO"/>
        </w:rPr>
        <w:tab/>
        <w:t>”</w:t>
      </w:r>
      <w:r w:rsidRPr="00A41CF0">
        <w:rPr>
          <w:sz w:val="28"/>
          <w:szCs w:val="28"/>
          <w:lang w:val="ro-RO"/>
        </w:rPr>
        <w:t xml:space="preserve"> </w:t>
      </w:r>
      <w:r w:rsidRPr="00A41CF0">
        <w:rPr>
          <w:rStyle w:val="rvts8"/>
          <w:sz w:val="28"/>
          <w:szCs w:val="28"/>
          <w:lang w:val="ro-RO"/>
        </w:rPr>
        <w:t xml:space="preserve">(7) </w:t>
      </w:r>
      <w:proofErr w:type="spellStart"/>
      <w:r w:rsidRPr="00A41CF0">
        <w:rPr>
          <w:rStyle w:val="rvts8"/>
          <w:sz w:val="28"/>
          <w:szCs w:val="28"/>
          <w:lang w:val="ro-RO"/>
        </w:rPr>
        <w:t>Învăţământul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superior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postuniversitar din domeniul sănătate se </w:t>
      </w:r>
      <w:proofErr w:type="spellStart"/>
      <w:r w:rsidRPr="00A41CF0">
        <w:rPr>
          <w:rStyle w:val="rvts8"/>
          <w:sz w:val="28"/>
          <w:szCs w:val="28"/>
          <w:lang w:val="ro-RO"/>
        </w:rPr>
        <w:t>desfăşoară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în </w:t>
      </w:r>
      <w:proofErr w:type="spellStart"/>
      <w:r w:rsidRPr="00A41CF0">
        <w:rPr>
          <w:rStyle w:val="rvts8"/>
          <w:sz w:val="28"/>
          <w:szCs w:val="28"/>
          <w:lang w:val="ro-RO"/>
        </w:rPr>
        <w:t>unităţi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sanitare publice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private, precum spitale, </w:t>
      </w:r>
      <w:proofErr w:type="spellStart"/>
      <w:r w:rsidRPr="00A41CF0">
        <w:rPr>
          <w:rStyle w:val="rvts8"/>
          <w:sz w:val="28"/>
          <w:szCs w:val="28"/>
          <w:lang w:val="ro-RO"/>
        </w:rPr>
        <w:t>unităţi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medicale ambulatorii, inclusiv stomatologice,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cabinete de specialitate, inclusiv stomatologice, în institute, în centre de diagnostic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tratament, în </w:t>
      </w:r>
      <w:proofErr w:type="spellStart"/>
      <w:r w:rsidRPr="00A41CF0">
        <w:rPr>
          <w:rStyle w:val="rvts8"/>
          <w:sz w:val="28"/>
          <w:szCs w:val="28"/>
          <w:lang w:val="ro-RO"/>
        </w:rPr>
        <w:t>secţii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cu paturi, în laboratoare, inclusiv de tehnică dentară, în farmacii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în cabinete, inclusiv stomatologice. Conform </w:t>
      </w:r>
      <w:proofErr w:type="spellStart"/>
      <w:r w:rsidRPr="00A41CF0">
        <w:rPr>
          <w:rStyle w:val="rvts8"/>
          <w:sz w:val="28"/>
          <w:szCs w:val="28"/>
          <w:lang w:val="ro-RO"/>
        </w:rPr>
        <w:t>legislaţiei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speciale din domeniul </w:t>
      </w:r>
      <w:proofErr w:type="spellStart"/>
      <w:r w:rsidRPr="00A41CF0">
        <w:rPr>
          <w:rStyle w:val="rvts8"/>
          <w:sz w:val="28"/>
          <w:szCs w:val="28"/>
          <w:lang w:val="ro-RO"/>
        </w:rPr>
        <w:t>educaţiei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sz w:val="28"/>
          <w:szCs w:val="28"/>
          <w:lang w:val="ro-RO"/>
        </w:rPr>
        <w:t>sănătăţii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se pot constitui spitale clinice publice cu </w:t>
      </w:r>
      <w:proofErr w:type="spellStart"/>
      <w:r w:rsidRPr="00A41CF0">
        <w:rPr>
          <w:rStyle w:val="rvts8"/>
          <w:sz w:val="28"/>
          <w:szCs w:val="28"/>
          <w:lang w:val="ro-RO"/>
        </w:rPr>
        <w:t>secţii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/compartimente clinice, inclusiv compartimente clinice stomatologice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laboratoare de tehnică dentară, spitale universitare, institute, spitale private cu </w:t>
      </w:r>
      <w:proofErr w:type="spellStart"/>
      <w:r w:rsidRPr="00A41CF0">
        <w:rPr>
          <w:rStyle w:val="rvts8"/>
          <w:sz w:val="28"/>
          <w:szCs w:val="28"/>
          <w:lang w:val="ro-RO"/>
        </w:rPr>
        <w:t>secţii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/compartimente clinice, inclusiv compartimente clinice stomatologice, laboratoare de tehnică dentară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farmacii universitare în care sunt organizate </w:t>
      </w:r>
      <w:proofErr w:type="spellStart"/>
      <w:r w:rsidRPr="00A41CF0">
        <w:rPr>
          <w:rStyle w:val="rvts8"/>
          <w:sz w:val="28"/>
          <w:szCs w:val="28"/>
          <w:lang w:val="ro-RO"/>
        </w:rPr>
        <w:t>activităţi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de </w:t>
      </w:r>
      <w:proofErr w:type="spellStart"/>
      <w:r w:rsidRPr="00A41CF0">
        <w:rPr>
          <w:rStyle w:val="rvts8"/>
          <w:sz w:val="28"/>
          <w:szCs w:val="28"/>
          <w:lang w:val="ro-RO"/>
        </w:rPr>
        <w:t>învăţământ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cercetare ale departamentelor universitare.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ro-RO"/>
        </w:rPr>
      </w:pPr>
      <w:r w:rsidRPr="00A41CF0">
        <w:rPr>
          <w:rStyle w:val="rvts8"/>
          <w:sz w:val="28"/>
          <w:szCs w:val="28"/>
          <w:lang w:val="ro-RO"/>
        </w:rPr>
        <w:t xml:space="preserve">    (8)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Rezidenţiatul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reprezintă forma specifică de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învăţământ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postuniversitar pentru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absolvenţii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licenţiaţi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ai programelor de studii de medicină, medicină dentară/stomatologie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farmacie care asigură pregătirea necesară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obţinerii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uneia dintre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specialităţile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medicale,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medico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-dentare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farmaceutice pentru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reţeaua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de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asistenţă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medicală. Pregătirea în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rezidenţiat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se organizează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se evaluează, în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condiţiile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legii, de Ministerul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Educaţiei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de Ministerul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Sănătăţii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, prin intermediul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instituţiilor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de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învăţământ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superior de medicină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farmacie acreditate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al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instituţiilor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de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învăţământ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superior care au în structură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facultăţi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de medicină, medicină dentară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farmacie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care au programe de studii de </w:t>
      </w:r>
      <w:r w:rsidRPr="00A41CF0">
        <w:rPr>
          <w:rStyle w:val="rvts8"/>
          <w:b/>
          <w:sz w:val="28"/>
          <w:szCs w:val="28"/>
          <w:lang w:val="ro-RO"/>
        </w:rPr>
        <w:lastRenderedPageBreak/>
        <w:t xml:space="preserve">medicină, medicină dentară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farmacie acreditate. Organizarea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finanţarea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rezidenţiatului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se reglementează prin acte normative specifice, după consultarea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instituţiilor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de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învăţământ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superior acreditate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cu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facultăţile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care au programe de studii de medicină, medicină dentară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farmacie acreditate.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  <w:r w:rsidRPr="00A41CF0">
        <w:rPr>
          <w:rStyle w:val="rvts8"/>
          <w:sz w:val="28"/>
          <w:szCs w:val="28"/>
          <w:lang w:val="ro-RO"/>
        </w:rPr>
        <w:t>    …………………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ro-RO"/>
        </w:rPr>
      </w:pPr>
      <w:r w:rsidRPr="00A41CF0">
        <w:rPr>
          <w:rStyle w:val="rvts8"/>
          <w:sz w:val="28"/>
          <w:szCs w:val="28"/>
          <w:lang w:val="ro-RO"/>
        </w:rPr>
        <w:t xml:space="preserve">    </w:t>
      </w:r>
      <w:r w:rsidRPr="00A41CF0">
        <w:rPr>
          <w:rStyle w:val="rvts8"/>
          <w:b/>
          <w:sz w:val="28"/>
          <w:szCs w:val="28"/>
          <w:lang w:val="ro-RO"/>
        </w:rPr>
        <w:t xml:space="preserve">(11) În cadrul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instituţiilor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de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învăţământ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superior de medicină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farmacie acreditate care organizează programe de pregătire în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rezidenţiat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se constituie o structură, la nivel de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direcţie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, de pregătire în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rezidenţiat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care organizează activitatea de avizare a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unităţilor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de pregătire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asigură coordonarea pregătirii de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rezidenţiat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>, condusă de un prorector.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b/>
          <w:sz w:val="28"/>
          <w:szCs w:val="28"/>
          <w:lang w:val="ro-RO"/>
        </w:rPr>
      </w:pPr>
      <w:r w:rsidRPr="00A41CF0">
        <w:rPr>
          <w:rStyle w:val="rvts8"/>
          <w:b/>
          <w:sz w:val="28"/>
          <w:szCs w:val="28"/>
          <w:lang w:val="ro-RO"/>
        </w:rPr>
        <w:t xml:space="preserve">    (12) În cadrul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instituţiilor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de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învăţământ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superior care au în structură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facultăţi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de medicină, medicină dentară/stomatologie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farmacie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care au programe de studii de medicină, medicină dentară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farmacie acreditate se organizează un departament de pregătire în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rezidenţiat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 xml:space="preserve"> care este subordonat conducerii </w:t>
      </w:r>
      <w:proofErr w:type="spellStart"/>
      <w:r w:rsidRPr="00A41CF0">
        <w:rPr>
          <w:rStyle w:val="rvts8"/>
          <w:b/>
          <w:sz w:val="28"/>
          <w:szCs w:val="28"/>
          <w:lang w:val="ro-RO"/>
        </w:rPr>
        <w:t>facultăţii</w:t>
      </w:r>
      <w:proofErr w:type="spellEnd"/>
      <w:r w:rsidRPr="00A41CF0">
        <w:rPr>
          <w:rStyle w:val="rvts8"/>
          <w:b/>
          <w:sz w:val="28"/>
          <w:szCs w:val="28"/>
          <w:lang w:val="ro-RO"/>
        </w:rPr>
        <w:t>.”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b/>
          <w:sz w:val="28"/>
          <w:szCs w:val="28"/>
          <w:lang w:val="ro-RO"/>
        </w:rPr>
      </w:pP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  <w:r w:rsidRPr="00A41CF0">
        <w:rPr>
          <w:rStyle w:val="rvts8"/>
          <w:b/>
          <w:sz w:val="28"/>
          <w:szCs w:val="28"/>
          <w:lang w:val="ro-RO"/>
        </w:rPr>
        <w:tab/>
      </w:r>
      <w:r w:rsidRPr="00A41CF0">
        <w:rPr>
          <w:rStyle w:val="rvts8"/>
          <w:sz w:val="28"/>
          <w:szCs w:val="28"/>
          <w:lang w:val="ro-RO"/>
        </w:rPr>
        <w:t xml:space="preserve">De </w:t>
      </w:r>
      <w:proofErr w:type="spellStart"/>
      <w:r w:rsidRPr="00A41CF0">
        <w:rPr>
          <w:rStyle w:val="rvts8"/>
          <w:sz w:val="28"/>
          <w:szCs w:val="28"/>
          <w:lang w:val="ro-RO"/>
        </w:rPr>
        <w:t>asemnea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potrivit art.10, alin.(2) din Ordonanța Guvernului nr.18/2009 privind organizarea și </w:t>
      </w:r>
      <w:proofErr w:type="spellStart"/>
      <w:r w:rsidRPr="00A41CF0">
        <w:rPr>
          <w:rStyle w:val="rvts8"/>
          <w:sz w:val="28"/>
          <w:szCs w:val="28"/>
          <w:lang w:val="ro-RO"/>
        </w:rPr>
        <w:t>finanțareas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rezidențiatului, aprobată prin Legea nr.103/2012, cu modificările și completările ulterioare: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  <w:r w:rsidRPr="00A41CF0">
        <w:rPr>
          <w:rStyle w:val="rvts8"/>
          <w:sz w:val="28"/>
          <w:szCs w:val="28"/>
          <w:lang w:val="ro-RO"/>
        </w:rPr>
        <w:tab/>
        <w:t>”</w:t>
      </w:r>
      <w:r w:rsidRPr="00A41CF0">
        <w:rPr>
          <w:sz w:val="28"/>
          <w:szCs w:val="28"/>
          <w:lang w:val="ro-RO"/>
        </w:rPr>
        <w:t xml:space="preserve"> </w:t>
      </w:r>
      <w:r w:rsidRPr="00A41CF0">
        <w:rPr>
          <w:rStyle w:val="rvts9"/>
          <w:sz w:val="28"/>
          <w:szCs w:val="28"/>
          <w:lang w:val="ro-RO"/>
        </w:rPr>
        <w:t>(2</w:t>
      </w:r>
      <w:r w:rsidRPr="00A41CF0">
        <w:rPr>
          <w:rStyle w:val="rvts8"/>
          <w:sz w:val="28"/>
          <w:szCs w:val="28"/>
          <w:lang w:val="ro-RO"/>
        </w:rPr>
        <w:t xml:space="preserve">) Regulamentul de efectuare a pregătirii prin </w:t>
      </w:r>
      <w:proofErr w:type="spellStart"/>
      <w:r w:rsidRPr="00A41CF0">
        <w:rPr>
          <w:rStyle w:val="rvts8"/>
          <w:sz w:val="28"/>
          <w:szCs w:val="28"/>
          <w:lang w:val="ro-RO"/>
        </w:rPr>
        <w:t>rezidenţiat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se aprobă prin ordin comun al ministrului </w:t>
      </w:r>
      <w:proofErr w:type="spellStart"/>
      <w:r w:rsidRPr="00A41CF0">
        <w:rPr>
          <w:rStyle w:val="rvts8"/>
          <w:sz w:val="28"/>
          <w:szCs w:val="28"/>
          <w:lang w:val="ro-RO"/>
        </w:rPr>
        <w:t>sănătăţii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al ministrului </w:t>
      </w:r>
      <w:proofErr w:type="spellStart"/>
      <w:r w:rsidRPr="00A41CF0">
        <w:rPr>
          <w:rStyle w:val="rvts8"/>
          <w:sz w:val="28"/>
          <w:szCs w:val="28"/>
          <w:lang w:val="ro-RO"/>
        </w:rPr>
        <w:t>educaţiei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cercetării.”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  <w:r w:rsidRPr="00A41CF0">
        <w:rPr>
          <w:rStyle w:val="rvts8"/>
          <w:sz w:val="28"/>
          <w:szCs w:val="28"/>
          <w:lang w:val="ro-RO"/>
        </w:rPr>
        <w:tab/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  <w:r w:rsidRPr="00A41CF0">
        <w:rPr>
          <w:rStyle w:val="rvts8"/>
          <w:sz w:val="28"/>
          <w:szCs w:val="28"/>
          <w:lang w:val="ro-RO"/>
        </w:rPr>
        <w:tab/>
        <w:t xml:space="preserve">Regulamentul de efectuare a pregătirii prin </w:t>
      </w:r>
      <w:proofErr w:type="spellStart"/>
      <w:r w:rsidRPr="00A41CF0">
        <w:rPr>
          <w:rStyle w:val="rvts8"/>
          <w:sz w:val="28"/>
          <w:szCs w:val="28"/>
          <w:lang w:val="ro-RO"/>
        </w:rPr>
        <w:t>rezidenţiat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în </w:t>
      </w:r>
      <w:proofErr w:type="spellStart"/>
      <w:r w:rsidRPr="00A41CF0">
        <w:rPr>
          <w:rStyle w:val="rvts8"/>
          <w:sz w:val="28"/>
          <w:szCs w:val="28"/>
          <w:lang w:val="ro-RO"/>
        </w:rPr>
        <w:t>specialităţile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prevăzute de Nomenclatorul </w:t>
      </w:r>
      <w:proofErr w:type="spellStart"/>
      <w:r w:rsidRPr="00A41CF0">
        <w:rPr>
          <w:rStyle w:val="rvts8"/>
          <w:sz w:val="28"/>
          <w:szCs w:val="28"/>
          <w:lang w:val="ro-RO"/>
        </w:rPr>
        <w:t>specialităţilor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medicale, </w:t>
      </w:r>
      <w:proofErr w:type="spellStart"/>
      <w:r w:rsidRPr="00A41CF0">
        <w:rPr>
          <w:rStyle w:val="rvts8"/>
          <w:sz w:val="28"/>
          <w:szCs w:val="28"/>
          <w:lang w:val="ro-RO"/>
        </w:rPr>
        <w:t>medico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-dentare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farmaceutice pentru </w:t>
      </w:r>
      <w:proofErr w:type="spellStart"/>
      <w:r w:rsidRPr="00A41CF0">
        <w:rPr>
          <w:rStyle w:val="rvts8"/>
          <w:sz w:val="28"/>
          <w:szCs w:val="28"/>
          <w:lang w:val="ro-RO"/>
        </w:rPr>
        <w:t>reţeaua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de </w:t>
      </w:r>
      <w:proofErr w:type="spellStart"/>
      <w:r w:rsidRPr="00A41CF0">
        <w:rPr>
          <w:rStyle w:val="rvts8"/>
          <w:sz w:val="28"/>
          <w:szCs w:val="28"/>
          <w:lang w:val="ro-RO"/>
        </w:rPr>
        <w:t>asistenţă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medicală,  este cel prevăzut de Anexa  nr. 1 la </w:t>
      </w:r>
      <w:proofErr w:type="spellStart"/>
      <w:r w:rsidRPr="00A41CF0">
        <w:rPr>
          <w:rStyle w:val="rvts8"/>
          <w:sz w:val="28"/>
          <w:szCs w:val="28"/>
          <w:lang w:val="ro-RO"/>
        </w:rPr>
        <w:t>Ordinun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comun  al ministrul </w:t>
      </w:r>
      <w:proofErr w:type="spellStart"/>
      <w:r w:rsidRPr="00A41CF0">
        <w:rPr>
          <w:rStyle w:val="rvts8"/>
          <w:sz w:val="28"/>
          <w:szCs w:val="28"/>
          <w:lang w:val="ro-RO"/>
        </w:rPr>
        <w:t>sănătăţii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publice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ministrul </w:t>
      </w:r>
      <w:proofErr w:type="spellStart"/>
      <w:r w:rsidRPr="00A41CF0">
        <w:rPr>
          <w:rStyle w:val="rvts8"/>
          <w:sz w:val="28"/>
          <w:szCs w:val="28"/>
          <w:lang w:val="ro-RO"/>
        </w:rPr>
        <w:t>educaţiei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, cercetării </w:t>
      </w:r>
      <w:proofErr w:type="spellStart"/>
      <w:r w:rsidRPr="00A41CF0">
        <w:rPr>
          <w:rStyle w:val="rvts8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sz w:val="28"/>
          <w:szCs w:val="28"/>
          <w:lang w:val="ro-RO"/>
        </w:rPr>
        <w:t xml:space="preserve"> tineretului nr.1141/1386/2007, cu modificările și completările ulterioare.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  <w:r w:rsidRPr="00A41CF0">
        <w:rPr>
          <w:rStyle w:val="rvts8"/>
          <w:sz w:val="28"/>
          <w:szCs w:val="28"/>
          <w:lang w:val="ro-RO"/>
        </w:rPr>
        <w:tab/>
        <w:t>Având în vedere cele de mai sus se impune modificarea și completarea Ordinului comun MSP și MECT nr.1141/1386/2007 în sensul corelării cu noile prevederi legale.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</w:p>
    <w:p w:rsidR="00A41CF0" w:rsidRPr="00A41CF0" w:rsidRDefault="00A41CF0" w:rsidP="00A41CF0">
      <w:pPr>
        <w:jc w:val="both"/>
        <w:rPr>
          <w:rStyle w:val="rvts8"/>
          <w:rFonts w:ascii="Times New Roman" w:hAnsi="Times New Roman" w:cs="Times New Roman"/>
          <w:sz w:val="28"/>
          <w:szCs w:val="28"/>
          <w:lang w:val="ro-RO"/>
        </w:rPr>
      </w:pPr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ab/>
      </w:r>
      <w:r w:rsidRPr="00A41CF0">
        <w:rPr>
          <w:rStyle w:val="rvts8"/>
          <w:rFonts w:ascii="Times New Roman" w:eastAsia="Times New Roman" w:hAnsi="Times New Roman" w:cs="Times New Roman"/>
          <w:sz w:val="28"/>
          <w:szCs w:val="28"/>
          <w:lang w:val="ro-RO"/>
        </w:rPr>
        <w:t xml:space="preserve">Totodată se impune și </w:t>
      </w:r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 xml:space="preserve">abrogarea  ordinului ministerului sănătății nr.1879/2019 privind aprobarea criteriilor </w:t>
      </w:r>
      <w:proofErr w:type="spellStart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 xml:space="preserve"> procedurilor de acreditare </w:t>
      </w:r>
      <w:proofErr w:type="spellStart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 xml:space="preserve"> reacreditare a </w:t>
      </w:r>
      <w:proofErr w:type="spellStart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>unităţilor</w:t>
      </w:r>
      <w:proofErr w:type="spellEnd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 xml:space="preserve"> sanitare în care se pot derula programe de </w:t>
      </w:r>
      <w:proofErr w:type="spellStart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>rezidenţiat</w:t>
      </w:r>
      <w:proofErr w:type="spellEnd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 xml:space="preserve">, precum </w:t>
      </w:r>
      <w:proofErr w:type="spellStart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 xml:space="preserve"> reglementarea unor măsuri necesare aplicării Ordo2nanţei Guvernului nr. 18/2009 privind organizarea </w:t>
      </w:r>
      <w:proofErr w:type="spellStart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>finanţarea</w:t>
      </w:r>
      <w:proofErr w:type="spellEnd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>rezidenţiatului</w:t>
      </w:r>
      <w:proofErr w:type="spellEnd"/>
      <w:r w:rsidRPr="00A41CF0">
        <w:rPr>
          <w:rStyle w:val="rvts8"/>
          <w:rFonts w:ascii="Times New Roman" w:hAnsi="Times New Roman" w:cs="Times New Roman"/>
          <w:sz w:val="28"/>
          <w:szCs w:val="28"/>
          <w:lang w:val="ro-RO"/>
        </w:rPr>
        <w:t>, cu modificările ulterioare.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  <w:r w:rsidRPr="00A41CF0">
        <w:rPr>
          <w:rStyle w:val="rvts8"/>
          <w:sz w:val="28"/>
          <w:szCs w:val="28"/>
          <w:lang w:val="ro-RO"/>
        </w:rPr>
        <w:lastRenderedPageBreak/>
        <w:tab/>
        <w:t>În acest sens au fost  consultate universitățile de medicină și Farmacie (Alianța Universitară G5-UMF) și a fost elaborat alăturatul Proiect de ordin, pe care vi-l supunem aprobării.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rStyle w:val="rvts8"/>
          <w:sz w:val="28"/>
          <w:szCs w:val="28"/>
          <w:lang w:val="ro-RO"/>
        </w:rPr>
      </w:pPr>
      <w:r w:rsidRPr="00A41CF0">
        <w:rPr>
          <w:rStyle w:val="rvts8"/>
          <w:sz w:val="28"/>
          <w:szCs w:val="28"/>
          <w:lang w:val="ro-RO"/>
        </w:rPr>
        <w:tab/>
        <w:t>În cazul în care sunteți de acord, după semnare Proiectul va fi postat pe site-ul Ministerului Sănătății în vederea îndeplinirii procedurii de transparență decizională.</w:t>
      </w:r>
    </w:p>
    <w:p w:rsidR="00A41CF0" w:rsidRPr="00A41CF0" w:rsidRDefault="00A41CF0" w:rsidP="00A41CF0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A41CF0" w:rsidRPr="00A41CF0" w:rsidRDefault="00A41CF0" w:rsidP="00A41C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DIRECTOR </w:t>
      </w:r>
    </w:p>
    <w:p w:rsidR="00A41CF0" w:rsidRPr="00A41CF0" w:rsidRDefault="00A41CF0" w:rsidP="00A41C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BOGDAN-ANDREI VINERSAR</w:t>
      </w:r>
    </w:p>
    <w:p w:rsidR="00A41CF0" w:rsidRPr="00A41CF0" w:rsidRDefault="00A41CF0" w:rsidP="00A41CF0">
      <w:pPr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A41CF0" w:rsidRPr="00A41CF0" w:rsidRDefault="00A41CF0" w:rsidP="00A41CF0">
      <w:pPr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ȘEF SERVICIU </w:t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:rsidR="00A41CF0" w:rsidRPr="00A41CF0" w:rsidRDefault="00A41CF0" w:rsidP="00A41CF0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Gabriela Angheloiu</w:t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A41CF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bookmarkStart w:id="0" w:name="_GoBack"/>
      <w:bookmarkEnd w:id="0"/>
    </w:p>
    <w:p w:rsidR="00A41CF0" w:rsidRPr="00A41CF0" w:rsidRDefault="00A41CF0" w:rsidP="00A41CF0">
      <w:pPr>
        <w:spacing w:after="120" w:line="240" w:lineRule="auto"/>
        <w:ind w:left="-6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6B6A28" w:rsidRPr="00A41CF0" w:rsidRDefault="006B6A28">
      <w:pPr>
        <w:rPr>
          <w:sz w:val="28"/>
          <w:szCs w:val="28"/>
          <w:lang w:val="ro-RO"/>
        </w:rPr>
      </w:pPr>
    </w:p>
    <w:sectPr w:rsidR="006B6A28" w:rsidRPr="00A41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80"/>
    <w:rsid w:val="006B6A28"/>
    <w:rsid w:val="00A41CF0"/>
    <w:rsid w:val="00A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111ED-8F67-44C8-B78B-6D161BE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CF0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CF0"/>
    <w:rPr>
      <w:color w:val="0000FF"/>
      <w:u w:val="single"/>
    </w:rPr>
  </w:style>
  <w:style w:type="table" w:styleId="TableGrid">
    <w:name w:val="Table Grid"/>
    <w:basedOn w:val="TableNormal"/>
    <w:uiPriority w:val="59"/>
    <w:rsid w:val="00A41CF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">
    <w:name w:val="rvts1"/>
    <w:basedOn w:val="DefaultParagraphFont"/>
    <w:rsid w:val="00A41CF0"/>
  </w:style>
  <w:style w:type="paragraph" w:styleId="NormalWeb">
    <w:name w:val="Normal (Web)"/>
    <w:basedOn w:val="Normal"/>
    <w:uiPriority w:val="99"/>
    <w:unhideWhenUsed/>
    <w:rsid w:val="00A4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A41CF0"/>
  </w:style>
  <w:style w:type="character" w:customStyle="1" w:styleId="rvts9">
    <w:name w:val="rvts9"/>
    <w:basedOn w:val="DefaultParagraphFont"/>
    <w:rsid w:val="00A4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rus@m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2024-12-18T11:26:00Z</dcterms:created>
  <dcterms:modified xsi:type="dcterms:W3CDTF">2024-12-18T11:27:00Z</dcterms:modified>
</cp:coreProperties>
</file>