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5A" w:rsidRDefault="007B3ED4" w:rsidP="002E000C">
      <w:pPr>
        <w:keepNext/>
        <w:spacing w:after="0" w:line="276" w:lineRule="auto"/>
        <w:ind w:left="5670"/>
        <w:outlineLvl w:val="5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D30A8B">
        <w:rPr>
          <w:rFonts w:ascii="Times New Roman" w:hAnsi="Times New Roman" w:cs="Times New Roman"/>
          <w:b/>
          <w:bCs/>
          <w:sz w:val="23"/>
          <w:szCs w:val="23"/>
        </w:rPr>
        <w:t xml:space="preserve">         </w:t>
      </w:r>
    </w:p>
    <w:p w:rsidR="0077625A" w:rsidRDefault="0077625A" w:rsidP="007B3ED4">
      <w:pPr>
        <w:keepNext/>
        <w:spacing w:after="0" w:line="276" w:lineRule="auto"/>
        <w:ind w:left="5670"/>
        <w:outlineLvl w:val="5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3675B" w:rsidRDefault="0093675B" w:rsidP="0093675B">
      <w:pPr>
        <w:tabs>
          <w:tab w:val="left" w:pos="720"/>
          <w:tab w:val="right" w:pos="8257"/>
        </w:tabs>
        <w:spacing w:line="259" w:lineRule="auto"/>
        <w:jc w:val="center"/>
        <w:rPr>
          <w:rFonts w:ascii="Arial" w:hAnsi="Arial" w:cs="Arial"/>
          <w:b/>
          <w:color w:val="000000"/>
        </w:rPr>
      </w:pPr>
    </w:p>
    <w:p w:rsidR="0093675B" w:rsidRPr="0076049B" w:rsidRDefault="0093675B" w:rsidP="0093675B">
      <w:pPr>
        <w:tabs>
          <w:tab w:val="left" w:pos="720"/>
          <w:tab w:val="right" w:pos="8257"/>
        </w:tabs>
        <w:spacing w:line="259" w:lineRule="auto"/>
        <w:jc w:val="center"/>
        <w:rPr>
          <w:rFonts w:ascii="Arial" w:hAnsi="Arial" w:cs="Arial"/>
          <w:b/>
          <w:color w:val="000000"/>
        </w:rPr>
      </w:pPr>
      <w:r w:rsidRPr="0076049B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D561B61" wp14:editId="5B652C15">
            <wp:simplePos x="0" y="0"/>
            <wp:positionH relativeFrom="margin">
              <wp:posOffset>57150</wp:posOffset>
            </wp:positionH>
            <wp:positionV relativeFrom="paragraph">
              <wp:posOffset>0</wp:posOffset>
            </wp:positionV>
            <wp:extent cx="810260" cy="810260"/>
            <wp:effectExtent l="0" t="0" r="8890" b="8890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1" name="Picture 1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049B">
        <w:rPr>
          <w:rFonts w:ascii="Arial" w:hAnsi="Arial" w:cs="Arial"/>
          <w:b/>
          <w:color w:val="000000"/>
        </w:rPr>
        <w:t>MINISTERUL SĂNĂTĂŢII</w:t>
      </w:r>
    </w:p>
    <w:p w:rsidR="0093675B" w:rsidRDefault="0093675B" w:rsidP="0093675B">
      <w:pPr>
        <w:spacing w:line="259" w:lineRule="auto"/>
        <w:jc w:val="center"/>
        <w:rPr>
          <w:rFonts w:ascii="Arial" w:hAnsi="Arial" w:cs="Arial"/>
          <w:b/>
          <w:color w:val="000000"/>
          <w:lang w:val="ro-RO"/>
        </w:rPr>
      </w:pPr>
      <w:r w:rsidRPr="0076049B">
        <w:rPr>
          <w:rFonts w:ascii="Arial" w:hAnsi="Arial" w:cs="Arial"/>
          <w:b/>
          <w:color w:val="000000"/>
        </w:rPr>
        <w:t>DIREC</w:t>
      </w:r>
      <w:r w:rsidRPr="0076049B">
        <w:rPr>
          <w:rFonts w:ascii="Arial" w:hAnsi="Arial" w:cs="Arial"/>
          <w:b/>
          <w:color w:val="000000"/>
          <w:lang w:val="ro-RO"/>
        </w:rPr>
        <w:t>ȚIA GENERALĂ ASISTENȚĂ MEDICALĂ ȘI SĂNĂTATE PUBLICĂ</w:t>
      </w:r>
    </w:p>
    <w:p w:rsidR="0093675B" w:rsidRPr="001916AC" w:rsidRDefault="0093675B" w:rsidP="0093675B">
      <w:pPr>
        <w:spacing w:line="259" w:lineRule="auto"/>
        <w:jc w:val="center"/>
        <w:rPr>
          <w:rFonts w:ascii="Arial" w:hAnsi="Arial" w:cs="Arial"/>
          <w:color w:val="000000"/>
          <w:lang w:val="ro-RO"/>
        </w:rPr>
      </w:pPr>
      <w:r w:rsidRPr="001916AC">
        <w:rPr>
          <w:rFonts w:ascii="Arial" w:hAnsi="Arial" w:cs="Arial"/>
          <w:color w:val="000000"/>
          <w:lang w:val="ro-RO"/>
        </w:rPr>
        <w:t xml:space="preserve">SERVICIUL DE SĂNĂTATE PUBLICĂ </w:t>
      </w:r>
    </w:p>
    <w:p w:rsidR="000245CB" w:rsidRPr="0087644B" w:rsidRDefault="000245CB" w:rsidP="003130A7">
      <w:pPr>
        <w:tabs>
          <w:tab w:val="left" w:pos="10065"/>
        </w:tabs>
        <w:rPr>
          <w:szCs w:val="18"/>
        </w:rPr>
      </w:pPr>
      <w:r w:rsidRPr="0087644B">
        <w:rPr>
          <w:rFonts w:ascii="Arial" w:hAnsi="Arial" w:cs="Arial"/>
        </w:rPr>
        <w:t xml:space="preserve">        </w:t>
      </w:r>
    </w:p>
    <w:p w:rsidR="007B3ED4" w:rsidRPr="003130A7" w:rsidRDefault="000245CB" w:rsidP="003130A7">
      <w:pPr>
        <w:rPr>
          <w:rFonts w:ascii="Times New Roman" w:hAnsi="Times New Roman" w:cs="Times New Roman"/>
          <w:b/>
          <w:szCs w:val="18"/>
        </w:rPr>
      </w:pPr>
      <w:r w:rsidRPr="003130A7">
        <w:rPr>
          <w:rFonts w:ascii="Times New Roman" w:hAnsi="Times New Roman" w:cs="Times New Roman"/>
          <w:b/>
          <w:szCs w:val="18"/>
        </w:rPr>
        <w:t xml:space="preserve">                                                                                                        </w:t>
      </w:r>
      <w:r w:rsidR="002E000C">
        <w:rPr>
          <w:rFonts w:ascii="Times New Roman" w:hAnsi="Times New Roman" w:cs="Times New Roman"/>
          <w:b/>
          <w:szCs w:val="18"/>
        </w:rPr>
        <w:t xml:space="preserve">              </w:t>
      </w:r>
      <w:r w:rsidRPr="003130A7">
        <w:rPr>
          <w:rFonts w:ascii="Times New Roman" w:hAnsi="Times New Roman" w:cs="Times New Roman"/>
          <w:b/>
          <w:szCs w:val="18"/>
        </w:rPr>
        <w:t>APROB</w:t>
      </w:r>
      <w:r w:rsidR="007B3ED4" w:rsidRPr="002E000C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                                                                               </w:t>
      </w:r>
    </w:p>
    <w:p w:rsidR="007B3ED4" w:rsidRPr="002E000C" w:rsidRDefault="007B3ED4" w:rsidP="007B3ED4">
      <w:pPr>
        <w:spacing w:after="0" w:line="276" w:lineRule="auto"/>
        <w:ind w:right="4"/>
        <w:rPr>
          <w:rFonts w:ascii="Times New Roman" w:hAnsi="Times New Roman" w:cs="Times New Roman"/>
          <w:b/>
          <w:bCs/>
          <w:sz w:val="23"/>
          <w:szCs w:val="23"/>
          <w:lang w:val="fr-FR"/>
        </w:rPr>
      </w:pPr>
      <w:r w:rsidRPr="002E000C">
        <w:rPr>
          <w:rFonts w:ascii="Times New Roman" w:hAnsi="Times New Roman" w:cs="Times New Roman"/>
          <w:b/>
          <w:bCs/>
          <w:lang w:val="fr-FR"/>
        </w:rPr>
        <w:t xml:space="preserve">                                                                                      </w:t>
      </w:r>
      <w:r w:rsidRPr="002E000C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         </w:t>
      </w:r>
      <w:r w:rsidR="002E000C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    </w:t>
      </w:r>
      <w:r w:rsidRPr="002E000C">
        <w:rPr>
          <w:rFonts w:ascii="Times New Roman" w:hAnsi="Times New Roman" w:cs="Times New Roman"/>
          <w:b/>
          <w:bCs/>
          <w:sz w:val="23"/>
          <w:szCs w:val="23"/>
          <w:lang w:val="fr-FR"/>
        </w:rPr>
        <w:t>MINISTRUL SĂNĂTĂȚII</w:t>
      </w:r>
    </w:p>
    <w:p w:rsidR="007B3ED4" w:rsidRPr="002E000C" w:rsidRDefault="007B3ED4" w:rsidP="007B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00C">
        <w:rPr>
          <w:rFonts w:ascii="Times New Roman" w:hAnsi="Times New Roman" w:cs="Times New Roman"/>
          <w:bCs/>
          <w:sz w:val="23"/>
          <w:szCs w:val="23"/>
          <w:lang w:val="fr-FR"/>
        </w:rPr>
        <w:t xml:space="preserve">                                                                                    </w:t>
      </w:r>
      <w:r w:rsidR="002E000C">
        <w:rPr>
          <w:rFonts w:ascii="Times New Roman" w:hAnsi="Times New Roman" w:cs="Times New Roman"/>
          <w:bCs/>
          <w:sz w:val="23"/>
          <w:szCs w:val="23"/>
          <w:lang w:val="fr-FR"/>
        </w:rPr>
        <w:t xml:space="preserve">        </w:t>
      </w:r>
      <w:r w:rsidRPr="002E000C">
        <w:rPr>
          <w:rFonts w:ascii="Times New Roman" w:hAnsi="Times New Roman" w:cs="Times New Roman"/>
          <w:bCs/>
          <w:sz w:val="23"/>
          <w:szCs w:val="23"/>
          <w:lang w:val="fr-FR"/>
        </w:rPr>
        <w:t xml:space="preserve">  </w:t>
      </w:r>
      <w:r w:rsidRPr="002E000C">
        <w:rPr>
          <w:rFonts w:ascii="Times New Roman" w:hAnsi="Times New Roman" w:cs="Times New Roman"/>
          <w:b/>
          <w:sz w:val="24"/>
          <w:szCs w:val="24"/>
        </w:rPr>
        <w:t xml:space="preserve">Prof. </w:t>
      </w:r>
      <w:proofErr w:type="gramStart"/>
      <w:r w:rsidRPr="002E000C">
        <w:rPr>
          <w:rFonts w:ascii="Times New Roman" w:hAnsi="Times New Roman" w:cs="Times New Roman"/>
          <w:b/>
          <w:sz w:val="24"/>
          <w:szCs w:val="24"/>
        </w:rPr>
        <w:t>univ</w:t>
      </w:r>
      <w:proofErr w:type="gramEnd"/>
      <w:r w:rsidRPr="002E000C">
        <w:rPr>
          <w:rFonts w:ascii="Times New Roman" w:hAnsi="Times New Roman" w:cs="Times New Roman"/>
          <w:b/>
          <w:sz w:val="24"/>
          <w:szCs w:val="24"/>
        </w:rPr>
        <w:t>. dr. Alexandru RAFILA</w:t>
      </w:r>
    </w:p>
    <w:p w:rsidR="007B3ED4" w:rsidRPr="00D30A8B" w:rsidRDefault="007B3ED4" w:rsidP="007B3ED4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b/>
          <w:bCs/>
          <w:color w:val="auto"/>
          <w:sz w:val="22"/>
          <w:szCs w:val="22"/>
        </w:rPr>
      </w:pPr>
    </w:p>
    <w:p w:rsidR="00CC34E8" w:rsidRDefault="00CC34E8" w:rsidP="003130A7">
      <w:pPr>
        <w:spacing w:after="0" w:line="240" w:lineRule="auto"/>
        <w:ind w:right="-572"/>
        <w:rPr>
          <w:rFonts w:ascii="Times New Roman" w:hAnsi="Times New Roman" w:cs="Times New Roman"/>
          <w:b/>
          <w:sz w:val="24"/>
          <w:szCs w:val="24"/>
        </w:rPr>
      </w:pPr>
    </w:p>
    <w:p w:rsidR="007B3ED4" w:rsidRPr="00D30A8B" w:rsidRDefault="007B3ED4" w:rsidP="003130A7">
      <w:pPr>
        <w:spacing w:after="0" w:line="240" w:lineRule="auto"/>
        <w:ind w:right="-572"/>
        <w:rPr>
          <w:rFonts w:ascii="Times New Roman" w:hAnsi="Times New Roman" w:cs="Times New Roman"/>
          <w:b/>
          <w:sz w:val="24"/>
          <w:szCs w:val="24"/>
        </w:rPr>
      </w:pPr>
    </w:p>
    <w:p w:rsidR="007B3ED4" w:rsidRDefault="007B3ED4" w:rsidP="007B3ED4">
      <w:pPr>
        <w:spacing w:after="0" w:line="240" w:lineRule="auto"/>
        <w:ind w:right="-572"/>
        <w:jc w:val="center"/>
        <w:rPr>
          <w:rFonts w:ascii="Times New Roman" w:hAnsi="Times New Roman" w:cs="Times New Roman"/>
          <w:b/>
        </w:rPr>
      </w:pPr>
      <w:r w:rsidRPr="00D30A8B">
        <w:rPr>
          <w:rFonts w:ascii="Times New Roman" w:hAnsi="Times New Roman" w:cs="Times New Roman"/>
          <w:b/>
        </w:rPr>
        <w:t>REFERAT DE APROBARE</w:t>
      </w:r>
    </w:p>
    <w:p w:rsidR="00CC34E8" w:rsidRDefault="00CC34E8" w:rsidP="007B3ED4">
      <w:pPr>
        <w:spacing w:after="0" w:line="240" w:lineRule="auto"/>
        <w:ind w:right="-572"/>
        <w:jc w:val="center"/>
        <w:rPr>
          <w:rFonts w:ascii="Times New Roman" w:hAnsi="Times New Roman" w:cs="Times New Roman"/>
          <w:b/>
        </w:rPr>
      </w:pPr>
    </w:p>
    <w:p w:rsidR="00CC34E8" w:rsidRPr="00D30A8B" w:rsidRDefault="00CC34E8" w:rsidP="003130A7">
      <w:pPr>
        <w:tabs>
          <w:tab w:val="left" w:pos="6600"/>
        </w:tabs>
        <w:jc w:val="both"/>
        <w:rPr>
          <w:rFonts w:ascii="Times New Roman" w:hAnsi="Times New Roman" w:cs="Times New Roman"/>
          <w:bCs/>
        </w:rPr>
      </w:pPr>
    </w:p>
    <w:p w:rsidR="00BC4405" w:rsidRPr="00BC4405" w:rsidRDefault="00BC4405" w:rsidP="00BC440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488398"/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617/2014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instituţional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 Regulamentului (UE) nr. 528/2012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din 22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biocide,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din Romania pentru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coordonarea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Regulamentulu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638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CB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="00D61CBC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D61CBC">
        <w:rPr>
          <w:rFonts w:ascii="Times New Roman" w:hAnsi="Times New Roman" w:cs="Times New Roman"/>
          <w:sz w:val="24"/>
          <w:szCs w:val="24"/>
        </w:rPr>
        <w:t>competente</w:t>
      </w:r>
      <w:r w:rsidR="00256638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256638">
        <w:rPr>
          <w:rFonts w:ascii="Times New Roman" w:hAnsi="Times New Roman" w:cs="Times New Roman"/>
          <w:sz w:val="24"/>
          <w:szCs w:val="24"/>
        </w:rPr>
        <w:t>.</w:t>
      </w:r>
    </w:p>
    <w:p w:rsidR="00BC4405" w:rsidRPr="00BC4405" w:rsidRDefault="00BC4405" w:rsidP="00BC440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proofErr w:type="gramStart"/>
      <w:r w:rsidRPr="00BC4405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organismul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special</w:t>
      </w:r>
      <w:r w:rsidRPr="00D61CBC">
        <w:rPr>
          <w:rFonts w:ascii="Times New Roman" w:hAnsi="Times New Roman" w:cs="Times New Roman"/>
          <w:b/>
          <w:sz w:val="24"/>
          <w:szCs w:val="24"/>
        </w:rPr>
        <w:t>i</w:t>
      </w:r>
      <w:r w:rsidRPr="00BC4405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juridică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>.</w:t>
      </w:r>
    </w:p>
    <w:p w:rsidR="00BC4405" w:rsidRPr="00BC4405" w:rsidRDefault="00BC4405" w:rsidP="00BC440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la art. 89.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2 din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Regulament</w:t>
      </w:r>
      <w:r w:rsidR="008B1984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8B1984">
        <w:rPr>
          <w:rFonts w:ascii="Times New Roman" w:hAnsi="Times New Roman" w:cs="Times New Roman"/>
          <w:sz w:val="24"/>
          <w:szCs w:val="24"/>
        </w:rPr>
        <w:t xml:space="preserve"> (UE) nr.528/2021</w:t>
      </w:r>
      <w:r w:rsidRPr="00BC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veterinare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10 din 8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2010,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368 din 17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11 din 4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biocide care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plasate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României</w:t>
      </w:r>
      <w:proofErr w:type="spellEnd"/>
    </w:p>
    <w:p w:rsidR="00BC4405" w:rsidRPr="00BC4405" w:rsidRDefault="00BC4405" w:rsidP="00BC4405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art. 7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de la art.10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(1) din,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10/368/11/2010,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2024, conform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(UE)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. 736/2013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din 17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2013 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(UE) nr. 528/2012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 xml:space="preserve"> active biocide </w:t>
      </w:r>
      <w:proofErr w:type="spellStart"/>
      <w:r w:rsidRPr="00BC4405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C4405">
        <w:rPr>
          <w:rFonts w:ascii="Times New Roman" w:hAnsi="Times New Roman" w:cs="Times New Roman"/>
          <w:sz w:val="24"/>
          <w:szCs w:val="24"/>
        </w:rPr>
        <w:t>.</w:t>
      </w:r>
    </w:p>
    <w:p w:rsidR="00BC4405" w:rsidRPr="00D61CBC" w:rsidRDefault="00BC4405" w:rsidP="00BC44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CBC">
        <w:rPr>
          <w:rStyle w:val="salnbdy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Conform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(UE) 2024/1398 al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din 14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2024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(UE) nr. 528/2012 al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CB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prelungire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sistematică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substanțelor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active biocide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prelungit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la 31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2030. </w:t>
      </w:r>
    </w:p>
    <w:p w:rsidR="003F33C8" w:rsidRPr="00D61CBC" w:rsidRDefault="003F33C8" w:rsidP="009A35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prezentul</w:t>
      </w:r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 xml:space="preserve"> act </w:t>
      </w: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normativ</w:t>
      </w:r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reglementează</w:t>
      </w:r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următoarele</w:t>
      </w:r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bCs/>
          <w:sz w:val="24"/>
          <w:szCs w:val="24"/>
        </w:rPr>
        <w:t>m</w:t>
      </w:r>
      <w:r w:rsidRPr="00D61CBC">
        <w:rPr>
          <w:rFonts w:ascii="Times New Roman" w:hAnsi="Times New Roman" w:cs="Times New Roman"/>
          <w:bCs/>
          <w:i/>
          <w:sz w:val="24"/>
          <w:szCs w:val="24"/>
        </w:rPr>
        <w:t>odificări</w:t>
      </w:r>
      <w:proofErr w:type="spellEnd"/>
      <w:r w:rsidRPr="00D61CBC">
        <w:rPr>
          <w:rFonts w:ascii="Times New Roman" w:hAnsi="Times New Roman" w:cs="Times New Roman"/>
          <w:bCs/>
          <w:i/>
          <w:sz w:val="24"/>
          <w:szCs w:val="24"/>
        </w:rPr>
        <w:t xml:space="preserve"> ale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Ordinului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comun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ministrului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sănătăţii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ministrului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mediului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schimbărilor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climatice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preşedintelui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autorităţii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naţionale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sanitare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veterinare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pentru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siguranţa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alimentelor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nr. 10 din 8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martie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2010,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. 368 din 17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martie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2010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nr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. 11 din 4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martie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2010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aprobarea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procedurii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avizare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produselor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biocide care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sunt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plasate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piaţă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teritoriul</w:t>
      </w:r>
      <w:proofErr w:type="spellEnd"/>
      <w:r w:rsidR="00BC4405" w:rsidRPr="00D61C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i/>
          <w:sz w:val="24"/>
          <w:szCs w:val="24"/>
        </w:rPr>
        <w:t>României</w:t>
      </w:r>
      <w:bookmarkEnd w:id="0"/>
      <w:proofErr w:type="spellEnd"/>
      <w:r w:rsidRPr="00D61CBC">
        <w:rPr>
          <w:rFonts w:ascii="Times New Roman" w:hAnsi="Times New Roman" w:cs="Times New Roman"/>
          <w:bCs/>
          <w:sz w:val="24"/>
          <w:szCs w:val="24"/>
        </w:rPr>
        <w:t>:</w:t>
      </w:r>
    </w:p>
    <w:p w:rsidR="00BC4405" w:rsidRPr="00D61CBC" w:rsidRDefault="00BC4405" w:rsidP="003F33C8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valabilității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tuturo</w:t>
      </w:r>
      <w:r w:rsidR="00794F80" w:rsidRPr="00D61CB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biocide de la data de 12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decemb</w:t>
      </w:r>
      <w:r w:rsidR="00E32018" w:rsidRPr="00D61CBC">
        <w:rPr>
          <w:rFonts w:ascii="Times New Roman" w:hAnsi="Times New Roman" w:cs="Times New Roman"/>
          <w:sz w:val="24"/>
          <w:szCs w:val="24"/>
        </w:rPr>
        <w:t>r</w:t>
      </w:r>
      <w:r w:rsidRPr="00D61CB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2024 la 31 </w:t>
      </w:r>
      <w:proofErr w:type="spellStart"/>
      <w:r w:rsidR="00D61CBC" w:rsidRPr="00D61CB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2030</w:t>
      </w:r>
    </w:p>
    <w:p w:rsidR="00BC4405" w:rsidRPr="00D61CBC" w:rsidRDefault="00BC4405" w:rsidP="003F33C8">
      <w:pPr>
        <w:pStyle w:val="ListParagraph"/>
        <w:numPr>
          <w:ilvl w:val="0"/>
          <w:numId w:val="8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E32018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="00E32018" w:rsidRPr="00D61CBC">
        <w:rPr>
          <w:rFonts w:ascii="Times New Roman" w:hAnsi="Times New Roman" w:cs="Times New Roman"/>
          <w:sz w:val="24"/>
          <w:szCs w:val="24"/>
        </w:rPr>
        <w:t xml:space="preserve"> </w:t>
      </w:r>
      <w:r w:rsidRPr="00D61CB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E32018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="00E32018" w:rsidRPr="00D61CBC">
        <w:rPr>
          <w:rFonts w:ascii="Times New Roman" w:hAnsi="Times New Roman" w:cs="Times New Roman"/>
          <w:sz w:val="24"/>
          <w:szCs w:val="24"/>
        </w:rPr>
        <w:t xml:space="preserve"> </w:t>
      </w:r>
      <w:r w:rsidRPr="00D61CBC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1CBC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r w:rsidR="00E32018" w:rsidRPr="00D61CBC">
        <w:rPr>
          <w:rFonts w:ascii="Times New Roman" w:hAnsi="Times New Roman" w:cs="Times New Roman"/>
          <w:sz w:val="24"/>
          <w:szCs w:val="24"/>
        </w:rPr>
        <w:t xml:space="preserve"> pentru</w:t>
      </w:r>
      <w:proofErr w:type="gram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testel</w:t>
      </w:r>
      <w:r w:rsidR="00E32018" w:rsidRPr="00D61C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eficacitate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solicitanți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ved</w:t>
      </w:r>
      <w:r w:rsidR="00E32018" w:rsidRPr="00D61CBC">
        <w:rPr>
          <w:rFonts w:ascii="Times New Roman" w:hAnsi="Times New Roman" w:cs="Times New Roman"/>
          <w:sz w:val="24"/>
          <w:szCs w:val="24"/>
        </w:rPr>
        <w:t>e</w:t>
      </w:r>
      <w:r w:rsidRPr="00D61CBC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r w:rsidR="00DA5BEE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î</w:t>
      </w:r>
      <w:r w:rsidR="00DA5BEE" w:rsidRPr="00D61CB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32018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018" w:rsidRPr="00D61CBC">
        <w:rPr>
          <w:rFonts w:ascii="Times New Roman" w:hAnsi="Times New Roman" w:cs="Times New Roman"/>
          <w:sz w:val="24"/>
          <w:szCs w:val="24"/>
        </w:rPr>
        <w:t>corelare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prev</w:t>
      </w:r>
      <w:r w:rsidR="00E32018" w:rsidRPr="00D61CBC">
        <w:rPr>
          <w:rFonts w:ascii="Times New Roman" w:hAnsi="Times New Roman" w:cs="Times New Roman"/>
          <w:sz w:val="24"/>
          <w:szCs w:val="24"/>
        </w:rPr>
        <w:t>e</w:t>
      </w:r>
      <w:r w:rsidRPr="00D61CBC">
        <w:rPr>
          <w:rFonts w:ascii="Times New Roman" w:hAnsi="Times New Roman" w:cs="Times New Roman"/>
          <w:sz w:val="24"/>
          <w:szCs w:val="24"/>
        </w:rPr>
        <w:t>derile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menșținerii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ariei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>).</w:t>
      </w:r>
    </w:p>
    <w:p w:rsidR="00BC4405" w:rsidRPr="00D61CBC" w:rsidRDefault="00BC4405" w:rsidP="00BC440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B3ED4" w:rsidRPr="00D61CBC" w:rsidRDefault="003F33C8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6492803"/>
      <w:proofErr w:type="spellStart"/>
      <w:r w:rsidRPr="00D61CBC">
        <w:rPr>
          <w:rFonts w:ascii="Times New Roman" w:hAnsi="Times New Roman" w:cs="Times New Roman"/>
          <w:sz w:val="24"/>
          <w:szCs w:val="24"/>
        </w:rPr>
        <w:t>Av</w:t>
      </w:r>
      <w:r w:rsidR="00064475" w:rsidRPr="00D61CBC">
        <w:rPr>
          <w:rFonts w:ascii="Times New Roman" w:hAnsi="Times New Roman" w:cs="Times New Roman"/>
          <w:sz w:val="24"/>
          <w:szCs w:val="24"/>
        </w:rPr>
        <w:t>â</w:t>
      </w:r>
      <w:r w:rsidRPr="00D61CBC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CB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70424C" w:rsidRPr="00D61CBC">
        <w:rPr>
          <w:rFonts w:ascii="Times New Roman" w:hAnsi="Times New Roman" w:cs="Times New Roman"/>
          <w:sz w:val="24"/>
          <w:szCs w:val="24"/>
        </w:rPr>
        <w:t>,</w:t>
      </w:r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plasate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expiră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la data de 31 </w:t>
      </w:r>
      <w:proofErr w:type="spellStart"/>
      <w:r w:rsidR="00BC4405" w:rsidRPr="00D61CBC">
        <w:rPr>
          <w:rFonts w:ascii="Times New Roman" w:hAnsi="Times New Roman" w:cs="Times New Roman"/>
          <w:sz w:val="24"/>
          <w:szCs w:val="24"/>
        </w:rPr>
        <w:t>dec</w:t>
      </w:r>
      <w:r w:rsidR="00E32018" w:rsidRPr="00D61CBC">
        <w:rPr>
          <w:rFonts w:ascii="Times New Roman" w:hAnsi="Times New Roman" w:cs="Times New Roman"/>
          <w:sz w:val="24"/>
          <w:szCs w:val="24"/>
        </w:rPr>
        <w:t>e</w:t>
      </w:r>
      <w:r w:rsidR="00D61CBC" w:rsidRPr="00D61CBC">
        <w:rPr>
          <w:rFonts w:ascii="Times New Roman" w:hAnsi="Times New Roman" w:cs="Times New Roman"/>
          <w:sz w:val="24"/>
          <w:szCs w:val="24"/>
        </w:rPr>
        <w:t>m</w:t>
      </w:r>
      <w:r w:rsidR="00BC4405" w:rsidRPr="00D61CBC">
        <w:rPr>
          <w:rFonts w:ascii="Times New Roman" w:hAnsi="Times New Roman" w:cs="Times New Roman"/>
          <w:sz w:val="24"/>
          <w:szCs w:val="24"/>
        </w:rPr>
        <w:t>b</w:t>
      </w:r>
      <w:r w:rsidR="00E32018" w:rsidRPr="00D61CBC">
        <w:rPr>
          <w:rFonts w:ascii="Times New Roman" w:hAnsi="Times New Roman" w:cs="Times New Roman"/>
          <w:sz w:val="24"/>
          <w:szCs w:val="24"/>
        </w:rPr>
        <w:t>r</w:t>
      </w:r>
      <w:r w:rsidR="00BC4405" w:rsidRPr="00D61CBC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BC4405" w:rsidRPr="00D61CBC">
        <w:rPr>
          <w:rFonts w:ascii="Times New Roman" w:hAnsi="Times New Roman" w:cs="Times New Roman"/>
          <w:sz w:val="24"/>
          <w:szCs w:val="24"/>
        </w:rPr>
        <w:t xml:space="preserve"> 2024, </w:t>
      </w:r>
      <w:bookmarkEnd w:id="1"/>
      <w:r w:rsidR="007B3ED4" w:rsidRPr="00D61C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3ED4" w:rsidRPr="00D61CB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B3ED4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D61CBC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7B3ED4" w:rsidRPr="00D61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D61CBC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7B3ED4" w:rsidRPr="00D61C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3ED4" w:rsidRPr="00D61CBC">
        <w:rPr>
          <w:rFonts w:ascii="Times New Roman" w:hAnsi="Times New Roman" w:cs="Times New Roman"/>
          <w:b/>
          <w:i/>
          <w:iCs/>
          <w:sz w:val="24"/>
          <w:szCs w:val="24"/>
        </w:rPr>
        <w:t>Ordin</w:t>
      </w:r>
      <w:proofErr w:type="spellEnd"/>
      <w:r w:rsidR="007B3ED4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3ED4" w:rsidRPr="00D61CBC">
        <w:rPr>
          <w:rFonts w:ascii="Times New Roman" w:hAnsi="Times New Roman" w:cs="Times New Roman"/>
          <w:b/>
          <w:i/>
          <w:iCs/>
          <w:sz w:val="24"/>
          <w:szCs w:val="24"/>
        </w:rPr>
        <w:t>privind</w:t>
      </w:r>
      <w:proofErr w:type="spellEnd"/>
      <w:r w:rsidR="007B3ED4" w:rsidRPr="00D61C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7B3ED4" w:rsidRPr="00D61CBC">
        <w:rPr>
          <w:rFonts w:ascii="Times New Roman" w:hAnsi="Times New Roman" w:cs="Times New Roman"/>
          <w:b/>
          <w:i/>
          <w:iCs/>
          <w:sz w:val="24"/>
          <w:szCs w:val="24"/>
        </w:rPr>
        <w:t>modificarea</w:t>
      </w:r>
      <w:proofErr w:type="spellEnd"/>
      <w:r w:rsidR="007B3ED4" w:rsidRPr="00D61CB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Ordinului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ministrului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sănătăţii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ministrului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mediului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schimbărilor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climatice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preşedintelui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autorităţii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naţionale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sanitare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veterinare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pentru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siguranţa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alimentelor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nr. 10 din 8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2010,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nr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. 368 din 17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2010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nr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. 11 din 4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martie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2010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aprobarea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procedurii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avizare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produselor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biocide care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sunt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plasate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piaţă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pe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teritoriul</w:t>
      </w:r>
      <w:proofErr w:type="spellEnd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A263A" w:rsidRPr="00D61CBC">
        <w:rPr>
          <w:rFonts w:ascii="Times New Roman" w:hAnsi="Times New Roman" w:cs="Times New Roman"/>
          <w:i/>
          <w:iCs/>
          <w:sz w:val="24"/>
          <w:szCs w:val="24"/>
        </w:rPr>
        <w:t>României</w:t>
      </w:r>
      <w:proofErr w:type="spellEnd"/>
      <w:r w:rsidR="008B1984" w:rsidRPr="00D61CB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245CB" w:rsidRPr="00D61CBC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Pr="00D61CBC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Pr="00D61CBC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CA263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DIRECTOR GENERAL</w:t>
      </w:r>
    </w:p>
    <w:p w:rsidR="000245CB" w:rsidRDefault="000245CB" w:rsidP="003130A7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Dr Amalia ȘERBAN</w:t>
      </w:r>
    </w:p>
    <w:p w:rsidR="000245CB" w:rsidRDefault="000245CB" w:rsidP="003130A7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245CB" w:rsidRDefault="000245CB" w:rsidP="003130A7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34E8" w:rsidRPr="00CD393C" w:rsidRDefault="00CC34E8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B1984" w:rsidRDefault="008B1984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B1984" w:rsidRDefault="008B1984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B1984" w:rsidRDefault="008B1984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B1984" w:rsidRDefault="008B1984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8B1984" w:rsidRDefault="008B1984" w:rsidP="00CC34E8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0245CB" w:rsidRPr="003130A7" w:rsidRDefault="008B1984" w:rsidP="003130A7">
      <w:pPr>
        <w:pStyle w:val="ListParagraph"/>
        <w:tabs>
          <w:tab w:val="center" w:pos="8370"/>
        </w:tabs>
        <w:ind w:left="0"/>
        <w:jc w:val="both"/>
        <w:rPr>
          <w:rFonts w:ascii="Times New Roman" w:hAnsi="Times New Roman" w:cs="Times New Roman"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Î</w:t>
      </w:r>
      <w:r w:rsidR="00CC34E8" w:rsidRPr="00CD393C">
        <w:rPr>
          <w:rFonts w:ascii="Times New Roman" w:hAnsi="Times New Roman" w:cs="Times New Roman"/>
          <w:i/>
          <w:iCs/>
          <w:sz w:val="16"/>
          <w:szCs w:val="16"/>
        </w:rPr>
        <w:t>ntocmit</w:t>
      </w:r>
      <w:proofErr w:type="spellEnd"/>
      <w:r w:rsidR="00CC34E8" w:rsidRPr="00CD393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CC34E8" w:rsidRPr="00CD393C">
        <w:rPr>
          <w:rFonts w:ascii="Times New Roman" w:hAnsi="Times New Roman" w:cs="Times New Roman"/>
          <w:i/>
          <w:iCs/>
          <w:sz w:val="16"/>
          <w:szCs w:val="16"/>
        </w:rPr>
        <w:t>Marcu</w:t>
      </w:r>
      <w:proofErr w:type="spellEnd"/>
      <w:r w:rsidR="00CC34E8" w:rsidRPr="00CD393C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CC34E8" w:rsidRPr="00CD393C">
        <w:rPr>
          <w:rFonts w:ascii="Times New Roman" w:hAnsi="Times New Roman" w:cs="Times New Roman"/>
          <w:i/>
          <w:iCs/>
          <w:sz w:val="16"/>
          <w:szCs w:val="16"/>
        </w:rPr>
        <w:t>Horatiu</w:t>
      </w:r>
      <w:bookmarkStart w:id="2" w:name="_GoBack"/>
      <w:bookmarkEnd w:id="2"/>
      <w:proofErr w:type="spellEnd"/>
    </w:p>
    <w:sectPr w:rsidR="000245CB" w:rsidRPr="00313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446"/>
    <w:multiLevelType w:val="hybridMultilevel"/>
    <w:tmpl w:val="8A206F2A"/>
    <w:lvl w:ilvl="0" w:tplc="07B40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2A71A9"/>
    <w:multiLevelType w:val="hybridMultilevel"/>
    <w:tmpl w:val="24BECEF4"/>
    <w:lvl w:ilvl="0" w:tplc="4D949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6689"/>
    <w:multiLevelType w:val="hybridMultilevel"/>
    <w:tmpl w:val="50E4CCE0"/>
    <w:lvl w:ilvl="0" w:tplc="7C2E8E52">
      <w:start w:val="1"/>
      <w:numFmt w:val="lowerLetter"/>
      <w:lvlText w:val="%1)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0"/>
    <w:rsid w:val="000245CB"/>
    <w:rsid w:val="00064475"/>
    <w:rsid w:val="00066602"/>
    <w:rsid w:val="000B7F9E"/>
    <w:rsid w:val="00210982"/>
    <w:rsid w:val="002500CD"/>
    <w:rsid w:val="00256638"/>
    <w:rsid w:val="002A66FD"/>
    <w:rsid w:val="002E000C"/>
    <w:rsid w:val="003130A7"/>
    <w:rsid w:val="003F33C8"/>
    <w:rsid w:val="00452641"/>
    <w:rsid w:val="00504D2C"/>
    <w:rsid w:val="00610E4F"/>
    <w:rsid w:val="006277D0"/>
    <w:rsid w:val="00671421"/>
    <w:rsid w:val="006B0A1A"/>
    <w:rsid w:val="006E0148"/>
    <w:rsid w:val="0070424C"/>
    <w:rsid w:val="00750EEC"/>
    <w:rsid w:val="0077625A"/>
    <w:rsid w:val="00794F80"/>
    <w:rsid w:val="007B3ED4"/>
    <w:rsid w:val="00823FE6"/>
    <w:rsid w:val="008B071D"/>
    <w:rsid w:val="008B1984"/>
    <w:rsid w:val="008F0FEB"/>
    <w:rsid w:val="0093675B"/>
    <w:rsid w:val="009A3538"/>
    <w:rsid w:val="00BC4405"/>
    <w:rsid w:val="00C318E4"/>
    <w:rsid w:val="00CA263A"/>
    <w:rsid w:val="00CC34E8"/>
    <w:rsid w:val="00D30A8B"/>
    <w:rsid w:val="00D61CBC"/>
    <w:rsid w:val="00DA5BEE"/>
    <w:rsid w:val="00E24363"/>
    <w:rsid w:val="00E32018"/>
    <w:rsid w:val="00E90F54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7384B-54BF-4D32-8564-57315C0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D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7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27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7D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27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D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3E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o-RO" w:eastAsia="ro-RO"/>
      <w14:ligatures w14:val="none"/>
    </w:rPr>
  </w:style>
  <w:style w:type="character" w:customStyle="1" w:styleId="spar">
    <w:name w:val="s_par"/>
    <w:basedOn w:val="DefaultParagraphFont"/>
    <w:rsid w:val="007B3ED4"/>
  </w:style>
  <w:style w:type="character" w:customStyle="1" w:styleId="rvts1">
    <w:name w:val="rvts1"/>
    <w:basedOn w:val="DefaultParagraphFont"/>
    <w:rsid w:val="007B3ED4"/>
  </w:style>
  <w:style w:type="character" w:customStyle="1" w:styleId="rvts8">
    <w:name w:val="rvts8"/>
    <w:basedOn w:val="DefaultParagraphFont"/>
    <w:rsid w:val="007B3ED4"/>
  </w:style>
  <w:style w:type="paragraph" w:styleId="NoSpacing">
    <w:name w:val="No Spacing"/>
    <w:uiPriority w:val="1"/>
    <w:qFormat/>
    <w:rsid w:val="0070424C"/>
    <w:pPr>
      <w:spacing w:after="0" w:line="240" w:lineRule="auto"/>
    </w:pPr>
    <w:rPr>
      <w:kern w:val="0"/>
      <w14:ligatures w14:val="none"/>
    </w:rPr>
  </w:style>
  <w:style w:type="character" w:customStyle="1" w:styleId="salnbdy">
    <w:name w:val="s_aln_bdy"/>
    <w:basedOn w:val="DefaultParagraphFont"/>
    <w:rsid w:val="00BC4405"/>
  </w:style>
  <w:style w:type="paragraph" w:styleId="Revision">
    <w:name w:val="Revision"/>
    <w:hidden/>
    <w:uiPriority w:val="99"/>
    <w:semiHidden/>
    <w:rsid w:val="00794F80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C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jpg@01D4A81E.E28EC6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39835-A248-48BF-AD92-B98E1F1B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gabriela.cilinca</dc:creator>
  <cp:keywords/>
  <dc:description/>
  <cp:lastModifiedBy>Microsoft account</cp:lastModifiedBy>
  <cp:revision>3</cp:revision>
  <cp:lastPrinted>2024-09-17T10:47:00Z</cp:lastPrinted>
  <dcterms:created xsi:type="dcterms:W3CDTF">2024-09-17T13:45:00Z</dcterms:created>
  <dcterms:modified xsi:type="dcterms:W3CDTF">2024-09-27T08:27:00Z</dcterms:modified>
</cp:coreProperties>
</file>