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6504BD">
        <w:t xml:space="preserve"> 72, 230, 231, 232, 233, 256, 841, 842, 902, 903, 904, 1347, 1348, 1349, 1706, 1799,</w:t>
      </w:r>
      <w:r w:rsidR="00E97D6F">
        <w:t xml:space="preserve">2477, 2478, </w:t>
      </w:r>
      <w:r w:rsidR="006504BD">
        <w:t xml:space="preserve"> 2563, 2566, 2847, 2975, 3227, 3228, 3920, 3921, 4313, 4314, </w:t>
      </w:r>
      <w:r w:rsidR="00AB73A4">
        <w:t xml:space="preserve">4316, </w:t>
      </w:r>
      <w:r w:rsidR="006504BD">
        <w:t>4317, 4318, 4559, 5419, 5420, 5869, 5870 și 6278</w:t>
      </w:r>
      <w:r w:rsidR="006265BB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425"/>
        <w:gridCol w:w="992"/>
        <w:gridCol w:w="709"/>
        <w:gridCol w:w="709"/>
        <w:gridCol w:w="850"/>
        <w:gridCol w:w="1134"/>
        <w:gridCol w:w="2410"/>
        <w:gridCol w:w="1134"/>
        <w:gridCol w:w="709"/>
        <w:gridCol w:w="850"/>
        <w:gridCol w:w="992"/>
        <w:gridCol w:w="993"/>
        <w:gridCol w:w="992"/>
        <w:gridCol w:w="283"/>
        <w:gridCol w:w="709"/>
        <w:gridCol w:w="851"/>
      </w:tblGrid>
      <w:tr w:rsidR="001B6F1B" w:rsidRPr="00E20287" w:rsidTr="001E4F79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7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24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W55128002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 SLAVIA 50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SLAVIA PHARM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aluminiu (Al) prevazut cu aplicator de tip injector x 5 g crema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D06BB03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W67972002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ALGIN BABY 100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OPELLA HEALTHCARE  ROMANIA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100 ml susp. orala, constituit din capac intern din PE si capac extern din PP, prevazut cu adaptor pt. seringa din PE si o seringa dozatoare PE/PS gradata la fiecare 0,25 ml, pt. masurarea volumelor pana la 6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W67972001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ALGIN BABY 100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OPELLA HEALTHCARE  ROMANIA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 din sticla bruna x 100 ml susp. orala, constituit din capac intern si capac extern din PP, prevazut cu adaptor pt. seringa din PE si o seringa dozatoare PE/PS gradata la fiecare 0,25 ml, pt. masurarea volumelor pana la 6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W64400002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ALGIN BABY 100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ROMANIA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1flacon din sticla brunax100ml suspensie orala, constituit din capac intern din PE si capac extern din PP, prevazut cu adaptor pt. </w:t>
            </w: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seringa din PE si o seringa dozatoare PE/PS gradata la fiecare 0.25ml, pt.masurarea vol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31.12.2024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W64400001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ALGIN BABY 100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ROMANIA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1flacon din sticla brunax100ml suspensie orala, constituit din capac intern si capac extern din PP, prevazut cu adaptor pentru seringa din PE si o seringa dozatoare PE/PSgradate la fiecare0,25ml pentru masurarea volume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ALOFISEL 5 milioane celule/ml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DISPERSIE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30milioane celule/6ml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DARVADSTROCELUM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flac. din sticla x 6 ml dispersie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250054,81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272630,59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W56291004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calendar transparent din PVC-PVDC/Aluminiu (cu simbolurile soare/luna) x 14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340,23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W62794001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 ZENECA 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 calendar transparent din PVC-PVdC/Al (cu simbolurile soare/luna) x 56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284,19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40mg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904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60mg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10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11519,34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12626,93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20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23070,34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23100,34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25217,52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30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34651,32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37808,09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W42784009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DULTAVAX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DIFTERO-TETANIC SI POLIOMIELITIC INACTIVAT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x 0,5 ml susp. inj. fara ac atasat, cu 2 ace separate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W67371002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EMGALITY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GALCANEZUMABUM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seringi preumplute (sticla) x 1ml solutie, in 3 stilouri injectoare (penuri) preumplute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6181,39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2477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W61201001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DERMATOLOGIE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bruna x 120ml solutie orala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894,75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W69409001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MEDICAMENT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120 ml solutie orala (3 ani-inainte de deschidere; dupa prima deschidere-2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894,75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W43965001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IG VENA 10g/200ml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10g/200ml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KEDRION S.P.A.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NORMALA PT. ADM. INTRAVASCULARA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200 ml sol. perf. + 1 set pt. perfuzare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3134,76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W43964001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IG VENA 5g/100ml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5g/100ml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KEDRION S.P.A.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NORMALA PT. ADM. INTRAVASCULARA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100 ml sol. perf. + 1 set administrare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1572,46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E4F79" w:rsidRPr="001E4F79" w:rsidTr="001E4F7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W66757001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KETOCONAZOLE HRA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HRA PHARMA RARE DISEASES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PVC/Al x 10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2995,31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W64873001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 12mg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12mg/1,2ml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BELGIUM - BELGIA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x 12mg/1,2ml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25922,62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25952,62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28326,51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3227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4 compr. (ambalaj tip portofel)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26205,37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26235,37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28634,70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1 compr. (ambalaj tip portofel)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7211,82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x 100 mg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4951,62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4981,62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5468,12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x 40 mg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2215,83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1946,62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1946,62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x 2ml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1988,67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1974,11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1974,11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W62419001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REPATHA 140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PEN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penuri SureClick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1904,68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2,5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10 ml care contine 10 ml sol. perf. (3 ani;dupa prima deschidere-30 zile la 30°C)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6042,76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6624,76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5420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10 ml care contine 10 ml sol. perf. (3 ani;dupa prima deschidere-30 zile la 30°C)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11093,28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11123,28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12162,53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- MEYERS SQUIBB EEIG-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x 10 ml concentrat pt. sol. perf. ( 50 mg IPILIMUMAB) 3 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13634,70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14932,67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 MYERS SQUIBB PHARMA EEIG-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x 40ml concentrat pt. sol. perf. ( 200 mg ipilimumab)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54241,64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54271,64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59194,24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E4F79" w:rsidRPr="001E4F79" w:rsidTr="001E4F79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E4F79" w:rsidRPr="001E4F79" w:rsidTr="001E4F7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12mg/1.2ml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THERAPEUTICS LTD - MAREA BRITANIE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1flacon x 12mg/1.2ml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25922,62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25952,62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28326,51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79" w:rsidRPr="001E4F79" w:rsidRDefault="001E4F79" w:rsidP="001E4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E4F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</w:tbl>
    <w:p w:rsidR="00E97D6F" w:rsidRDefault="00E97D6F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1E66B4">
      <w:pPr>
        <w:pStyle w:val="ListParagraph"/>
        <w:numPr>
          <w:ilvl w:val="0"/>
          <w:numId w:val="16"/>
        </w:numPr>
      </w:pPr>
      <w:r w:rsidRPr="001E66B4">
        <w:rPr>
          <w:bCs/>
          <w:color w:val="000000"/>
        </w:rPr>
        <w:t>După poziția nr.</w:t>
      </w:r>
      <w:r w:rsidR="00FE22F3" w:rsidRPr="001E66B4">
        <w:rPr>
          <w:bCs/>
          <w:color w:val="000000"/>
        </w:rPr>
        <w:t xml:space="preserve"> </w:t>
      </w:r>
      <w:r w:rsidR="009A1D62">
        <w:rPr>
          <w:bCs/>
          <w:color w:val="000000"/>
        </w:rPr>
        <w:t xml:space="preserve"> </w:t>
      </w:r>
      <w:r w:rsidR="001B6F1B">
        <w:rPr>
          <w:bCs/>
          <w:color w:val="000000"/>
        </w:rPr>
        <w:t>6619</w:t>
      </w:r>
      <w:r w:rsidR="009A1D62">
        <w:rPr>
          <w:bCs/>
          <w:color w:val="000000"/>
        </w:rPr>
        <w:t xml:space="preserve"> </w:t>
      </w:r>
      <w:r w:rsidRPr="001E66B4">
        <w:rPr>
          <w:bCs/>
          <w:color w:val="000000"/>
        </w:rPr>
        <w:t xml:space="preserve">se </w:t>
      </w:r>
      <w:r w:rsidR="00FE3C9C" w:rsidRPr="001E66B4">
        <w:rPr>
          <w:bCs/>
          <w:color w:val="000000"/>
        </w:rPr>
        <w:t>introduc</w:t>
      </w:r>
      <w:r w:rsidR="00072114">
        <w:rPr>
          <w:bCs/>
          <w:color w:val="000000"/>
        </w:rPr>
        <w:t xml:space="preserve"> 4</w:t>
      </w:r>
      <w:r w:rsidR="009504CF">
        <w:rPr>
          <w:bCs/>
          <w:color w:val="000000"/>
        </w:rPr>
        <w:t>6</w:t>
      </w:r>
      <w:r w:rsidR="009A1D62">
        <w:rPr>
          <w:bCs/>
          <w:color w:val="000000"/>
        </w:rPr>
        <w:t xml:space="preserve"> </w:t>
      </w:r>
      <w:r w:rsidR="00FE22F3" w:rsidRPr="001E66B4">
        <w:rPr>
          <w:bCs/>
          <w:color w:val="000000"/>
        </w:rPr>
        <w:t xml:space="preserve"> </w:t>
      </w:r>
      <w:r w:rsidRPr="001E66B4">
        <w:rPr>
          <w:bCs/>
          <w:color w:val="000000"/>
        </w:rPr>
        <w:t>poziții noi, pozițiile nr.</w:t>
      </w:r>
      <w:r w:rsidR="009A1D62">
        <w:rPr>
          <w:bCs/>
          <w:color w:val="000000"/>
        </w:rPr>
        <w:t xml:space="preserve"> </w:t>
      </w:r>
      <w:r w:rsidR="001B6F1B">
        <w:rPr>
          <w:bCs/>
          <w:color w:val="000000"/>
        </w:rPr>
        <w:t xml:space="preserve">6620 - </w:t>
      </w:r>
      <w:r w:rsidR="006504BD">
        <w:rPr>
          <w:bCs/>
          <w:color w:val="000000"/>
        </w:rPr>
        <w:t>666</w:t>
      </w:r>
      <w:r w:rsidR="009504CF">
        <w:rPr>
          <w:bCs/>
          <w:color w:val="000000"/>
        </w:rPr>
        <w:t>5</w:t>
      </w:r>
      <w:r w:rsidRPr="001E66B4">
        <w:rPr>
          <w:bCs/>
          <w:color w:val="000000"/>
        </w:rPr>
        <w:t>, cu următorul cuprins:</w:t>
      </w:r>
      <w:r>
        <w:t xml:space="preserve"> 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425"/>
        <w:gridCol w:w="992"/>
        <w:gridCol w:w="709"/>
        <w:gridCol w:w="709"/>
        <w:gridCol w:w="850"/>
        <w:gridCol w:w="992"/>
        <w:gridCol w:w="1418"/>
        <w:gridCol w:w="992"/>
        <w:gridCol w:w="851"/>
        <w:gridCol w:w="850"/>
        <w:gridCol w:w="992"/>
        <w:gridCol w:w="1276"/>
        <w:gridCol w:w="1276"/>
        <w:gridCol w:w="567"/>
        <w:gridCol w:w="850"/>
        <w:gridCol w:w="993"/>
      </w:tblGrid>
      <w:tr w:rsidR="0047796F" w:rsidRPr="00E20287" w:rsidTr="001137ED">
        <w:trPr>
          <w:trHeight w:val="816"/>
        </w:trPr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8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18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W69798001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TIBSOVO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LES LABORATOIRES SERVIER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IVOSIDENIBUM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 din PEID x 60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71701,16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72448,17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79796,34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W70545001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CLONOTRIL 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BESMAX PHARMA SOLUTIONS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PVC-PVDC x 10 compr.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W70544001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CLONOTRIL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BESMAX PHARMA SOLUTIONS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PVC-PVDC x 10 compr.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W69689001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COLUMVI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GLOFITAMABUM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6 ml cu 2,5 ml conc. pt. sol. perf.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4063,45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4589,36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W69690001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COLUMVI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GLOFITAMABUM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15 ml cu 10 ml conc. pt. sol. perf.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16203,87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16395,91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18088,41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CARMUSTINA WAYMADE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WAYMADE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CARMUSTINUM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bruna, cu capacitate de 30 ml cu pulb. pt. conc. pt sol. perf. si 1 flac. din sticla transparenta de 5 ml cu 3 ml solv. pt. conc. pt. sol. perf.(3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L01AD01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3473,79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3933,72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W70353001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KAULIV 20 micrograme/80 microlitri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20micrograme/80microlitri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STRIDES PHARMA (CYPRUS) LTD - CIPRU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TERIPARATIDUM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cartus x 3 ml sol. inj. (24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W70470004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POMALIDOMIDE ZENTIVA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unidoza OPA/Al/PVC//Al x 21x1 caps.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24511,03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W70512006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POMALIDOMIDE ACCORD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perforate pentru cu doza unitara oPA/Al/PVC/Al x 21x1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24511,03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W69935001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INFILEA 500 µg/g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SAMPON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500µg/g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cilindric din PEID de culoare alba cu 125 ml sampon (2 ani-dupa ambalare pt. comercializare;dupa pirma deschidere a tubului-2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D07AD01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W69805001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 ACCORD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PVC/aluminiu x 98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W68546001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TAPTIQOM 15 micrograme/ml + 5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 IN RECIPIENT UNIDOZA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15micrograme/ml + 5mg/ml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SANTEN OY - FINLANDA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(TAFLUPROSTUM+TIMOLOLUM)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pungi din folie laminata protectoare PE/Al/hartie a cate 10 flac. unidoza din PEID x 0,3 ml pic. oft., sol. (3 ani-dupa ambalare pt. comercializare; 28 zile-dupa prima deschidere a pungii protectoare)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S01ED51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W70112006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VORAMOL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ZENIVA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VORICONAZOLUM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PVC/Al x 30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J02AC03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W67921001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TEPADINA 400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ADIENNE S.R.L. S.U.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THIOTEPUM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o punga bicompartimentata, continând 400 mg de pulbere intr-un compartiment si 400 ml solutie injectabila de clorura de sodiu 9 mg/ml, în celalalt compartiment (18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L01AC01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12192,51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13628,14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KAFTRIO 60 mg/40 mg/80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60mg/40mg/80mg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VERTEX PHARMACEUTICALS (IRELAND)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IVACAFTORUM+ TEZACAFTORUM+ELEXACAFTORUM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28 plicuri din BOPET/PE/Foil/PE (4 portofele saptamânale, fiecare cu 7 plicuri)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R07AX32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51255,28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KAFTRIO 75 mg/50 mg/100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75mg/50mg/100mg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VERTEX PHARMACEUTICALS (IRELAND)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IVACAFTORUM+ TEZACAFTORUM+ELEXACAFTORUM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28 plicuri din BOPET/PE/Foil/PE (4 portofele saptamânale, fiecare cu 7 plicuri)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R07AX32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51255,28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W70508001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TERIFLUNOMIDE ACCORD 14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28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W69294002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TERIFLUNOMIDA STADA 14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OPA-Al-PVC/Al x 84 compr. film. (30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3453,49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3518,02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3911,14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W68923001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RIVOTRIL 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ARZNEIMITTEL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30 compr. 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12 luni de la data aprobării prețului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W55375001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RIVOTRIL 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ROMANIA S.R.L.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x 30 comprimate 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12 luni de la data aprobării prețului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W68924001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RIVOTRIL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ARZNEIMITTEL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 50 compr. 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12 luni de la data aprobării prețului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W51336001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RIVOTRIL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ROMANIA S.R.L.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CLONAZEPAMUM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50 compr.(5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N03AE01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12 luni de la data aprobării prețului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W70364002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OCTREOTIDA ROMPHARM 0,1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bruna în suport protector din PVC prevazute cu inel de rupere, cu capacitatea de 1 ml (2 ani-dupa </w:t>
            </w: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ambalare pentru comercializare;dupa prima deschidere a fiolei-se utilizează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H01CB02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W67199003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CLORHIDRAT DE SEVELAMER WAYMADE 800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WAYMADE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SEVELAMER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180 compr. film.(4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V03AE02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W67738001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VEDIDA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VORICONAZOLUM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 de 50 ml cu pulb. pt. sol. perf. (3 ani-Dupa ambalare pentru comercializare;pDupa prima deschidere a flac.-se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J02AC03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W67523002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ALVESCO 160 INHALER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DE INHALAT PRESURIZATA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160micrograme/doza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COVIS PHARMA EUROPE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CICLESONIDUM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Al cu valva dozatoare x 120 doze sol. de inhalat presurizata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R03BA08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tavite din PVC a câte 5 fiole (10 fiole) din sticla incolora cu linie de rupere sau punct de taiere care contin 1 ml sol. inj.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15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tavite din PVC a câte 5 fiole (10 fiole) din sticla incolora cu linie de rupere sau punct de taiere care contin 1 ml sol. inj.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50 compr.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COTELLIC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COBIMETINIBUM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63 (3x21)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L01EE02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21763,49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24270,20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W62525012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FOLINAT DE CALCIU KABI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FRESENIUS KABI DEUTSCHLAND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CALCII FOLINAS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bruna, prevazute cu dop din cauciuc clorobutilic si sigilate cu capsa din Al tip flip-off si disc de culoare alba, care contin 35 ml sol. inj./perf.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V03AF03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HIDROCORTIZON ATB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HYDROCORTISONUM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PVC-PVDC/Al x 10 compr.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H02AB09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W70469004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POMALIDOMIDE ZENTIVA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unidoza OPA/Al/PVC//Al x 21x1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23353,65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25748,19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W69596002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IMJUDO 20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TREMELIMUMABUM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flacon de 15 ml conc. pt.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102628,09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103684,37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114184,27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W70385001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OCREVUS 920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OCRELIZUMABUM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23 ml sol. inj.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L04AG08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50690,17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51227,07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56434,03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W67079002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OFOST 16,7 micrograme/ml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16,7micrograme/ml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OXYTOCINUM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borosilicata transparenta tip I, prevazute cu inel sau punct de rupere a cate 1 ml sol. inj./perf.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H01BB02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W68599001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MSN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SI 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(tip I), capacitate de 15ml, cu conc. pt. sol. perf. si 1 flac. din sticla transparenta (tip I), capacitate 15ml, cu solv. pt.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19129,41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W70168003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DAROXOMB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 pt. doze unitare OPA-Al-PVC/Al x 60x1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DAROXOMB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 pt. doze unitare OPA-Al-PVC/Al x 30x1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DAROXOMB 110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 pt. doze unitare OPA-Al-PVC/Al x 60x1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STILOU INJECTOR (PEN) PREUMPLUT (KWIKPEN)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stilou injector (pen) preumplut KwikPen, multidoza (5 mg/0,6ml/doza)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A10BX16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STILOU INJECTOR (PEN) PREUMPLUT (KWIKPEN)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stilou injector (pen) preumplut KwikPen, multidoza (2,5 mg/0,6ml/doza)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A10BX16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W68527002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MILDRONATE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MELDONIUM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PVC-PVDC/Al x 10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W70225001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ABEVMY 25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BEVACIZUMABUM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a 4 ml conc. pt. sol. perf. care contine 100 mg bevacizumab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L01FG01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W70225002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ABEVMY 25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BEVACIZUMABUM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a 16 ml conc. pt. sol. perf. care contine 400 mg de bevacizumab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L01FG01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2315,35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504CF" w:rsidRPr="009504CF" w:rsidTr="009504CF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W70223002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HULIO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PEN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40mg/0,8ml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pen-uri preumplute +2 tampoane alcool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CF" w:rsidRPr="009504CF" w:rsidRDefault="009504CF" w:rsidP="0095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504C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6B2F33" w:rsidRDefault="006B2F33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bookmarkStart w:id="0" w:name="_GoBack"/>
      <w:bookmarkEnd w:id="0"/>
    </w:p>
    <w:p w:rsidR="00D148AF" w:rsidRDefault="00D148AF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995F50" w:rsidRDefault="001771A1" w:rsidP="001E66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În Anexă, pozițiile</w:t>
      </w:r>
      <w:r w:rsidR="005B534E" w:rsidRPr="00BD6C91">
        <w:rPr>
          <w:rFonts w:cs="Calibri"/>
          <w:color w:val="000000"/>
        </w:rPr>
        <w:t xml:space="preserve"> nr.</w:t>
      </w:r>
      <w:r w:rsidR="001D4308">
        <w:rPr>
          <w:rFonts w:cs="Calibri"/>
          <w:color w:val="000000"/>
        </w:rPr>
        <w:t xml:space="preserve"> </w:t>
      </w:r>
      <w:r w:rsidR="00072114">
        <w:rPr>
          <w:rFonts w:cs="Calibri"/>
          <w:color w:val="000000"/>
        </w:rPr>
        <w:t xml:space="preserve"> 242,</w:t>
      </w:r>
      <w:r w:rsidR="005033AF">
        <w:rPr>
          <w:rFonts w:cs="Calibri"/>
          <w:color w:val="000000"/>
        </w:rPr>
        <w:t xml:space="preserve"> 4195,</w:t>
      </w:r>
      <w:r w:rsidR="00072114">
        <w:rPr>
          <w:rFonts w:cs="Calibri"/>
          <w:color w:val="000000"/>
        </w:rPr>
        <w:t xml:space="preserve"> 6200, 6295, 6309, 6366, 6377, 6378, 6379 și 6382 </w:t>
      </w:r>
      <w:r w:rsidR="005B534E" w:rsidRPr="00995F50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A4" w:rsidRDefault="00AB73A4" w:rsidP="00795CA2">
      <w:pPr>
        <w:spacing w:after="0" w:line="240" w:lineRule="auto"/>
      </w:pPr>
      <w:r>
        <w:separator/>
      </w:r>
    </w:p>
  </w:endnote>
  <w:endnote w:type="continuationSeparator" w:id="0">
    <w:p w:rsidR="00AB73A4" w:rsidRDefault="00AB73A4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3A4" w:rsidRDefault="00AB7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8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B73A4" w:rsidRDefault="00AB7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A4" w:rsidRDefault="00AB73A4" w:rsidP="00795CA2">
      <w:pPr>
        <w:spacing w:after="0" w:line="240" w:lineRule="auto"/>
      </w:pPr>
      <w:r>
        <w:separator/>
      </w:r>
    </w:p>
  </w:footnote>
  <w:footnote w:type="continuationSeparator" w:id="0">
    <w:p w:rsidR="00AB73A4" w:rsidRDefault="00AB73A4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114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02B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415F"/>
    <w:rsid w:val="008647AC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48AF"/>
    <w:rsid w:val="00D15571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8E3A-31E2-4E62-BCCD-E9648A8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1252</cp:revision>
  <cp:lastPrinted>2024-11-14T08:34:00Z</cp:lastPrinted>
  <dcterms:created xsi:type="dcterms:W3CDTF">2023-09-13T08:22:00Z</dcterms:created>
  <dcterms:modified xsi:type="dcterms:W3CDTF">2024-12-09T12:42:00Z</dcterms:modified>
</cp:coreProperties>
</file>